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Legge 3 agosto 2009, n. 116</w:t>
      </w:r>
    </w:p>
    <w:p w:rsidR="00261020" w:rsidRPr="00261020" w:rsidRDefault="00261020" w:rsidP="00261020">
      <w:pPr>
        <w:shd w:val="clear" w:color="auto" w:fill="FFFFFF"/>
        <w:spacing w:before="90" w:after="75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it-IT" w:bidi="ar-SA"/>
        </w:rPr>
      </w:pPr>
      <w:r w:rsidRPr="00261020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it-IT" w:bidi="ar-SA"/>
        </w:rPr>
        <w:t xml:space="preserve">"Ratifica ed esecuzione della Convenzione dell'Organizzazione delle Nazioni Unite contro la corruzione, adottata dalla Assemblea generale dell'ONU il 31 ottobre 2003 con risoluzione n. 58/4, firmata dallo Stato italiano il 9 dicembre 2003, </w:t>
      </w:r>
      <w:proofErr w:type="spellStart"/>
      <w:r w:rsidRPr="00261020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it-IT" w:bidi="ar-SA"/>
        </w:rPr>
        <w:t>nonche</w:t>
      </w:r>
      <w:proofErr w:type="spellEnd"/>
      <w:r w:rsidRPr="00261020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it-IT" w:bidi="ar-SA"/>
        </w:rPr>
        <w:t>' norme di adeguamento interno e modifiche al codice penale e al codice di procedura penale. "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pubblicata nella 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Gazzetta Ufficiale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n. 188 del 14 agosto 2009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1.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(Autorizzazione alla ratifica).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Il Presidente della Repubblica è autorizzato a ratificare la Convenzione dell'Organizzazione delle Nazioni Unite contro la corruzione, adottata dalla Assemblea generale dell'ONU il 31 ottobre 2003 con risoluzione n. 58/4, firmata dallo Stato italiano il 9 dicembre 2003.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2.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(Ordine di esecuzione).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Piena ed intera esecuzione è data alla Convenzione di cui all'articolo 1, di seguito denominata «Convenzione», a decorrere dalla data della sua entrata in vigore, in conformità a quanto disposto dall'articolo 68 della medesima Convenzione.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3.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(Modifiche al codice penale).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All'articolo 322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-bis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, secondo comma, numero 2), del codice penale sono aggiunte, in fine, le seguenti parole: «ovvero al fine di ottenere o di mantenere un'attività economica o finanziaria».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4.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(Introduzione dell'articolo 25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-novies 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del decreto legislativo 8 giugno 2001, n. 231).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Dopo l'articolo 25-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octies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del decreto legislativo 8 giugno 2001, n. 231, è inserito il seguente: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«Art. 25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-novies. - (Induzione a non rendere dichiarazioni o a rendere dichiarazioni mendaci all'autorità giudiziaria). - 1.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In relazione alla commissione del delitto di cui all'articolo 377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-bis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del codice penale, si applica all'ente la sanzione pecuniaria fino a cinquecento quote».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5.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(Introduzione degli articoli 740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-bis 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e 740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-ter 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del codice di procedura penale).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Dopo l'articolo 740 del codice di procedura penale sono inseriti i seguenti: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«Art. 740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-bis. - (Devoluzione ad uno Stato estero delle cose confiscate). - 1.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Nei casi previsti dagli accordi internazionali in vigore per lo Stato, le cose confiscate con sentenza definitiva o con altro provvedimento irrevocabile sono devolute allo Stato estero nel quale è stata pronunciata la sentenza ovvero è stato adottato il provvedimento di confisca.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2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. La devoluzione di cui al comma 1 è ordinata quando ricorrono i seguenti presupposti: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a)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lo Stato estero ne ha fatto espressa richiesta;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b)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la sentenza ovvero il provvedimento di cui al comma 1 sono stati riconosciuti nello Stato ai sensi degli articoli 731, 733 e 734.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740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-ter. - (Ordine di devoluzione). - 1.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La corte di appello, nel deliberare il riconoscimento della sentenza straniera o del provvedimento di confisca, ordina la devoluzione delle cose confiscate ai sensi dell'articolo 740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-bis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2.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 Copia del provvedimento è immediatamente trasmessa al Ministro della giustizia, che concorda le modalità della devoluzione con lo Stato richiedente».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6.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(Autorità nazionale anti-corruzione).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lastRenderedPageBreak/>
        <w:t>1. È designato quale autorità nazionale ai sensi dell'articolo 6 della Convenzione il soggetto al quale sono state trasferite le funzioni dell'Alto Commissario per la prevenzione e il contrasto della corruzione e delle altre forme di illecito all'interno della pubblica amministrazione, ai sensi dell'articolo 68, comma 6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-bis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, del decreto-legge 25 giugno 2008, n. 112, convertito, con modificazioni, dalla legge 6 agosto 2008, n. 133.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  <w:t>2. Al soggetto di cui al comma 1 sono assicurate autonomia ed indipendenza nell'attività.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7.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(Autorità centrale).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In relazione alle disposizioni previste dall'articolo 46, paragrafo 13, della Convenzione l'Italia designa come autorità centrale il Ministro della giustizia.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  <w:t>2. Le richieste di assistenza giudiziaria devono pervenire tradotte in lingua italiana.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  <w:t>3. Il Ministro della giustizia provvede, altresì, nei casi previsti dagli articoli 46, paragrafo 7, e 57 della Convenzione.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8.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(Norma di copertura).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Per l'attuazione della presente legge è autorizzata la spesa annua di euro 29.230 a decorrere dall'anno 2009. Al relativo onere si provvede mediante corrispondente riduzione dello stanziamento del fondo speciale di parte corrente iscritto, ai fini del bilancio triennale 2009-2011, nell'ambito del programma «Fondi di riserva e speciali» della missione «Fondi da ripartire» dello stato di previsione del Ministero dell'economia e delle finanze per l'anno 2009, allo scopo parzialmente utilizzando l'accantonamento relativo al Ministero degli affari esteri.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br w:type="textWrapping" w:clear="all"/>
        <w:t>2. Il Ministro dell'economia e delle finanze è autorizzato ad apportare, con propri decreti, le occorrenti variazioni di bilancio.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Art. 9.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(Entrata in vigore).</w:t>
      </w:r>
    </w:p>
    <w:p w:rsidR="00261020" w:rsidRPr="00261020" w:rsidRDefault="00261020" w:rsidP="00261020">
      <w:pPr>
        <w:shd w:val="clear" w:color="auto" w:fill="FFFFFF"/>
        <w:spacing w:before="75" w:after="180"/>
        <w:ind w:firstLine="240"/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</w:pP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1. La presente legge entra in vigore il giorno successivo a quello della sua pubblicazione nella </w:t>
      </w:r>
      <w:r w:rsidRPr="0026102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 w:bidi="ar-SA"/>
        </w:rPr>
        <w:t>Gazzetta Ufficiale</w:t>
      </w:r>
      <w:r w:rsidRPr="00261020">
        <w:rPr>
          <w:rFonts w:ascii="Tahoma" w:eastAsia="Times New Roman" w:hAnsi="Tahoma" w:cs="Tahoma"/>
          <w:color w:val="000000"/>
          <w:sz w:val="18"/>
          <w:szCs w:val="18"/>
          <w:lang w:eastAsia="it-IT" w:bidi="ar-SA"/>
        </w:rPr>
        <w:t>.</w:t>
      </w:r>
    </w:p>
    <w:p w:rsidR="004002CA" w:rsidRDefault="004002CA">
      <w:bookmarkStart w:id="0" w:name="_GoBack"/>
      <w:bookmarkEnd w:id="0"/>
    </w:p>
    <w:sectPr w:rsidR="004002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CA"/>
    <w:rsid w:val="00261020"/>
    <w:rsid w:val="004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2019-03-08T17:02:00Z</dcterms:created>
  <dcterms:modified xsi:type="dcterms:W3CDTF">2019-03-08T17:02:00Z</dcterms:modified>
  <dc:language>it-IT</dc:language>
</cp:coreProperties>
</file>